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58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75"/>
      <w:bookmarkStart w:id="1" w:name="OLE_LINK27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中国慈善研究“十大课题”</w:t>
      </w:r>
    </w:p>
    <w:bookmarkEnd w:id="0"/>
    <w:bookmarkEnd w:id="1"/>
    <w:p w14:paraId="5ECD23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申报指南</w:t>
      </w:r>
    </w:p>
    <w:p w14:paraId="21549BCE">
      <w:pPr>
        <w:widowControl w:val="0"/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为深化慈善领域重点课题研究，持续推动慈善事业高质量发展，现发布2026年度中国慈善研究“十大课题”申报指南。</w:t>
      </w:r>
    </w:p>
    <w:p w14:paraId="7A244A1B">
      <w:pPr>
        <w:widowControl w:val="0"/>
        <w:numPr>
          <w:ilvl w:val="0"/>
          <w:numId w:val="0"/>
        </w:numPr>
        <w:spacing w:line="600" w:lineRule="exact"/>
        <w:ind w:firstLine="640" w:firstLineChars="200"/>
        <w:rPr>
          <w:rFonts w:hint="default" w:ascii="方正仿宋_GBK" w:hAnsi="方正仿宋_GBK" w:eastAsia="黑体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方正仿宋_GBK"/>
          <w:color w:val="000000"/>
          <w:sz w:val="32"/>
          <w:szCs w:val="32"/>
          <w:lang w:val="en-US" w:eastAsia="zh-CN"/>
        </w:rPr>
        <w:t>总体思路</w:t>
      </w:r>
    </w:p>
    <w:p w14:paraId="3D9356F4">
      <w:pPr>
        <w:widowControl w:val="0"/>
        <w:numPr>
          <w:ilvl w:val="0"/>
          <w:numId w:val="0"/>
        </w:num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以习近平新时代中国特色社会主义思想为指导，深入领会党的二十大和二十届历次全会精神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贯彻落实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习近平总书记关于慈善工作的重要论述和重要指示批示精神，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结合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《中华人民共和国国民经济和社会发展第十五个五年规划纲要》，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慈善事业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促进司有关工作部署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，聚焦慈善领域重点任务和实践需要，运用科学方法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动员各方参与，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着力推出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具有政策参考价值、实践指导意义和</w:t>
      </w:r>
      <w:bookmarkStart w:id="8" w:name="_GoBack"/>
      <w:bookmarkEnd w:id="8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应用转化前景的研究成果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为中国特色慈善事业高质量发展提供智力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支持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。</w:t>
      </w:r>
    </w:p>
    <w:p w14:paraId="46D59B27"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方正仿宋_GBK"/>
          <w:color w:val="000000"/>
          <w:sz w:val="32"/>
          <w:szCs w:val="32"/>
          <w:lang w:val="en-US" w:eastAsia="zh-CN"/>
        </w:rPr>
        <w:t>课题组要求</w:t>
      </w:r>
    </w:p>
    <w:p w14:paraId="146DA783">
      <w:pPr>
        <w:numPr>
          <w:ilvl w:val="0"/>
          <w:numId w:val="0"/>
        </w:num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1.课题采取负责人制。联合申报的，课题负责人应为牵头单位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专职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人员。</w:t>
      </w:r>
    </w:p>
    <w:p w14:paraId="42D76369">
      <w:pPr>
        <w:numPr>
          <w:ilvl w:val="0"/>
          <w:numId w:val="0"/>
        </w:num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2.课题负责人和课题组主要成员应具备与申报选题相关的研究能力、实践经验和组织协调能力。研究团队原则上不超过10人（含负责人）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232B1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3.课题组主要成员近5年宜主持或者以核心成员身份参与过慈善及相关领域课题研究、政策研究、标准研制、评估项目、专题调研、蓝皮书编写或者其他研究性工作。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应当提交相关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研究证明或代表性成果（可节选）等申报材料。</w:t>
      </w:r>
    </w:p>
    <w:p w14:paraId="3CBD98F6">
      <w:pPr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  <w:lang w:val="en-US" w:eastAsia="zh-CN"/>
        </w:rPr>
        <w:t>三、工作步骤</w:t>
      </w:r>
    </w:p>
    <w:p w14:paraId="1D1DA785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形式审核</w:t>
      </w:r>
    </w:p>
    <w:p w14:paraId="7E4B105C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中国慈善联合会（以下简称我会）指定联系人对申报材料进行形式审核，不符合申报要求的，将视为无效申报。</w:t>
      </w:r>
    </w:p>
    <w:p w14:paraId="01A0CE05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初次审查和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入围遴选</w:t>
      </w:r>
    </w:p>
    <w:p w14:paraId="4D16DB1F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通过形式审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核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申报机构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，进入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初次审查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。根据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审查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结果，每个选题确定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不少于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2个入围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，进入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课题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预研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阶段。预研周期预计为1个月。</w:t>
      </w:r>
    </w:p>
    <w:p w14:paraId="407E5808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答辩评审和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立项</w:t>
      </w:r>
    </w:p>
    <w:p w14:paraId="04690DB4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我会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入围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机构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提交的预研材料组织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答辩评审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。每个选题原则上确定1个拟资助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课题组、以及资助标准。资助标准设7万元和10万元2档，10万元档原则上不超过2个。评审结果予以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公示。</w:t>
      </w:r>
    </w:p>
    <w:p w14:paraId="259F60A5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公示无异议，我会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将与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课题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牵头机构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签订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委托协议，并按标准给予资助。课题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正式立项。</w:t>
      </w:r>
    </w:p>
    <w:p w14:paraId="786D5A34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成果提交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和中期检查</w:t>
      </w:r>
    </w:p>
    <w:p w14:paraId="1714A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课题负责人应认真组织开展课题研究，不晚于2026年1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日提交中期研究成果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及咨政报告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，不晚于2027年3月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日提交最终研究成果。</w:t>
      </w:r>
    </w:p>
    <w:p w14:paraId="6C946CDA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五）终期评审与结题</w:t>
      </w:r>
    </w:p>
    <w:p w14:paraId="1FC94164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我会组织专家对资助课题的最终研究成果进行评审。成果通过评审的，予以结题并发放结题证书。优秀成果将择优汇编出版、报送或推动转化应用。</w:t>
      </w:r>
    </w:p>
    <w:p w14:paraId="5947BED3">
      <w:pPr>
        <w:numPr>
          <w:ilvl w:val="0"/>
          <w:numId w:val="0"/>
        </w:numPr>
        <w:ind w:firstLine="640" w:firstLineChars="200"/>
        <w:jc w:val="left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  <w:lang w:val="en-US" w:eastAsia="zh-CN"/>
        </w:rPr>
        <w:t>四、研究成果</w:t>
      </w:r>
    </w:p>
    <w:p w14:paraId="51BA15A0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（一）基本要求</w:t>
      </w:r>
    </w:p>
    <w:p w14:paraId="4CF5FC82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课题研究报告，正文原则上不少于20000字。报告格式参照《2026年度中国慈善研究“十大课题”研究报告基本写作要求》（见附件）。</w:t>
      </w:r>
    </w:p>
    <w:p w14:paraId="095C670E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（二）主要成果</w:t>
      </w:r>
    </w:p>
    <w:p w14:paraId="71C081FD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课题组按照要求提交各阶段成果，将下列材料发送至指定邮箱，包括可编辑版本和PDF版本：</w:t>
      </w:r>
    </w:p>
    <w:p w14:paraId="6D4FF4DE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1.课题预研材料；</w:t>
      </w:r>
    </w:p>
    <w:p w14:paraId="1A8B23D5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2.中期研究报告全本；</w:t>
      </w:r>
    </w:p>
    <w:p w14:paraId="636C7BD9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3.最终研究报告全本；</w:t>
      </w:r>
    </w:p>
    <w:p w14:paraId="4C34D397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4.最终研究报告简本；</w:t>
      </w:r>
    </w:p>
    <w:p w14:paraId="49992ABB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5.至少1篇咨政报告或决策参考材料；</w:t>
      </w:r>
    </w:p>
    <w:p w14:paraId="0A41D6DA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6.最终研究报告查重报告及AIGC检测报告；</w:t>
      </w:r>
    </w:p>
    <w:p w14:paraId="7057ECEF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7.根据课题形成的标准建议稿或者其他转化成果（如有）。</w:t>
      </w:r>
    </w:p>
    <w:p w14:paraId="62E47C68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（三）知识产权</w:t>
      </w:r>
    </w:p>
    <w:p w14:paraId="39AE467E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课题组所提交研究成果须是未公开发表、未参与过评奖的原创稿件，不存在知识产权纠纷，文责自负。研究成果由中国慈善联合会和课题组共同所有，中国慈善联合会享有课题成果发表、发行、改编、汇编等相关著作权利。</w:t>
      </w:r>
    </w:p>
    <w:p w14:paraId="506C7A62"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（四）质量管理</w:t>
      </w:r>
    </w:p>
    <w:p w14:paraId="139EA84E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1.课题组应按要求配合开展中期检查、成果评审及相关调研、座谈等工作。</w:t>
      </w:r>
    </w:p>
    <w:p w14:paraId="2E752626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2.自预研阶段，我会将为入围课题组配备专家，指导相关调查研究工作。</w:t>
      </w:r>
    </w:p>
    <w:p w14:paraId="2FCF8591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3.课题中期成果或最终成果未通过评审检查的，我会有权终止相关委托合作。</w:t>
      </w:r>
    </w:p>
    <w:p w14:paraId="78A69548">
      <w:pP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br w:type="page"/>
      </w:r>
    </w:p>
    <w:p w14:paraId="234F6278">
      <w:pP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bookmarkStart w:id="2" w:name="OLE_LINK249"/>
      <w:bookmarkStart w:id="3" w:name="OLE_LINK250"/>
      <w:bookmarkStart w:id="4" w:name="OLE_LINK54"/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附件</w:t>
      </w:r>
    </w:p>
    <w:p w14:paraId="71CD43F4">
      <w:pPr>
        <w:rPr>
          <w:rFonts w:ascii="仿宋" w:hAnsi="仿宋" w:eastAsia="仿宋" w:cs="仿宋"/>
          <w:b/>
          <w:bCs/>
          <w:sz w:val="28"/>
          <w:szCs w:val="28"/>
        </w:rPr>
      </w:pPr>
    </w:p>
    <w:p w14:paraId="36123C9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5" w:name="OLE_LINK68"/>
      <w:bookmarkStart w:id="6" w:name="OLE_LINK270"/>
      <w:bookmarkStart w:id="7" w:name="OLE_LINK27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中国慈善研究“十大课题”</w:t>
      </w:r>
    </w:p>
    <w:p w14:paraId="39D284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写作要求</w:t>
      </w:r>
    </w:p>
    <w:bookmarkEnd w:id="5"/>
    <w:bookmarkEnd w:id="6"/>
    <w:bookmarkEnd w:id="7"/>
    <w:p w14:paraId="0CF59D52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33A4D8B7">
      <w:pPr>
        <w:widowControl w:val="0"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研究报告应包括标题、内容摘要和正文，并在文稿页眉左侧注明“慈善政策理论研究”（仿宋，五号），在文稿最后附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课题组主要成员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信息。如有注释和参考文献，请参考其他人文社会科学学术期刊引文注释相关规定。</w:t>
      </w:r>
    </w:p>
    <w:p w14:paraId="164B3170">
      <w:pPr>
        <w:widowControl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一、标题。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“标题”居中，为方正小标宋简体小二号字。</w:t>
      </w:r>
    </w:p>
    <w:p w14:paraId="02E9B45B">
      <w:pPr>
        <w:widowControl w:val="0"/>
        <w:spacing w:line="60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二、内容摘要。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“摘要”为黑体小四号，摘要内容为仿宋小四号。300字以内。</w:t>
      </w:r>
    </w:p>
    <w:p w14:paraId="2AFF3BD3">
      <w:pPr>
        <w:widowControl w:val="0"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三、正文。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“正文”内容除标题外，一律用仿宋三号；一级标题：一、二、三……，黑体，三号；二级标题：（一）、（二）、（三）……，楷体加粗，三号；三级标题：1. 2. 3.……，仿宋加粗，三号；数字及英文的字体：Times New Roman，三号。</w:t>
      </w:r>
    </w:p>
    <w:p w14:paraId="113EC946">
      <w:pPr>
        <w:widowControl w:val="0"/>
        <w:spacing w:line="600" w:lineRule="exact"/>
        <w:ind w:firstLine="640" w:firstLineChars="200"/>
        <w:jc w:val="left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四、</w:t>
      </w:r>
      <w:r>
        <w:rPr>
          <w:rFonts w:hint="eastAsia" w:ascii="黑体" w:hAnsi="黑体" w:eastAsia="黑体" w:cs="方正仿宋_GBK"/>
          <w:color w:val="000000"/>
          <w:sz w:val="32"/>
          <w:szCs w:val="32"/>
          <w:lang w:val="en-US" w:eastAsia="zh-CN"/>
        </w:rPr>
        <w:t>课题组主要成员</w:t>
      </w:r>
      <w:r>
        <w:rPr>
          <w:rFonts w:hint="eastAsia" w:ascii="黑体" w:hAnsi="黑体" w:eastAsia="黑体" w:cs="方正仿宋_GBK"/>
          <w:color w:val="000000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课题组主要成员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”中请注明姓名、工作单位、职务、联系电话、电子邮箱等信息，字体为楷体三号。</w:t>
      </w:r>
      <w:bookmarkEnd w:id="2"/>
      <w:bookmarkEnd w:id="3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26D372-6B3F-40EC-96FA-E1B52CC7F5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012697F-F9A9-49DC-951A-13FBD50D2C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A58CEA5-BA59-4B65-9CCD-8F67E59A7B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F09EB38-0FED-44D2-A6DA-B3E3AF43B359}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103F9B2-8C09-4C7D-A7B9-B3ABC40ABD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47591F6-2F52-4D0F-969B-07DA1A9497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F62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8CAD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8CAD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451A"/>
    <w:rsid w:val="010F3B4F"/>
    <w:rsid w:val="018A58CB"/>
    <w:rsid w:val="06D616F9"/>
    <w:rsid w:val="07ED2710"/>
    <w:rsid w:val="0822685D"/>
    <w:rsid w:val="08C276F9"/>
    <w:rsid w:val="09293C1C"/>
    <w:rsid w:val="0A2763AD"/>
    <w:rsid w:val="0AAF1EFF"/>
    <w:rsid w:val="0BA46E33"/>
    <w:rsid w:val="0CCC6D98"/>
    <w:rsid w:val="0F1A31A2"/>
    <w:rsid w:val="0F711E78"/>
    <w:rsid w:val="10594DE6"/>
    <w:rsid w:val="10A235DA"/>
    <w:rsid w:val="116E2B13"/>
    <w:rsid w:val="136917E4"/>
    <w:rsid w:val="15502AE3"/>
    <w:rsid w:val="15BA6B35"/>
    <w:rsid w:val="17024FA6"/>
    <w:rsid w:val="17B5270A"/>
    <w:rsid w:val="184424E3"/>
    <w:rsid w:val="194F193C"/>
    <w:rsid w:val="19CE05F3"/>
    <w:rsid w:val="1A262F59"/>
    <w:rsid w:val="1A366A5E"/>
    <w:rsid w:val="1AC45552"/>
    <w:rsid w:val="1AF229D3"/>
    <w:rsid w:val="1CF9709D"/>
    <w:rsid w:val="1D40462D"/>
    <w:rsid w:val="1DCE772F"/>
    <w:rsid w:val="21997739"/>
    <w:rsid w:val="22231C76"/>
    <w:rsid w:val="22A46395"/>
    <w:rsid w:val="23A777BF"/>
    <w:rsid w:val="243B67FF"/>
    <w:rsid w:val="2457217A"/>
    <w:rsid w:val="262E46B0"/>
    <w:rsid w:val="264D464E"/>
    <w:rsid w:val="2729330D"/>
    <w:rsid w:val="2887358B"/>
    <w:rsid w:val="29CF1324"/>
    <w:rsid w:val="2C155C0E"/>
    <w:rsid w:val="2C3818FC"/>
    <w:rsid w:val="2C412DDE"/>
    <w:rsid w:val="2D0A7073"/>
    <w:rsid w:val="2DE13743"/>
    <w:rsid w:val="30511E6E"/>
    <w:rsid w:val="310D7BE7"/>
    <w:rsid w:val="3295408B"/>
    <w:rsid w:val="32A221C5"/>
    <w:rsid w:val="32C4038E"/>
    <w:rsid w:val="33896EE1"/>
    <w:rsid w:val="34563267"/>
    <w:rsid w:val="35447564"/>
    <w:rsid w:val="3699568D"/>
    <w:rsid w:val="37B920AB"/>
    <w:rsid w:val="37BE1B5A"/>
    <w:rsid w:val="38325D99"/>
    <w:rsid w:val="38365A0A"/>
    <w:rsid w:val="39866871"/>
    <w:rsid w:val="3C470094"/>
    <w:rsid w:val="423050F8"/>
    <w:rsid w:val="43081BD1"/>
    <w:rsid w:val="43D50508"/>
    <w:rsid w:val="452E61AE"/>
    <w:rsid w:val="46FE3D85"/>
    <w:rsid w:val="47794DF3"/>
    <w:rsid w:val="47A70883"/>
    <w:rsid w:val="48567BBA"/>
    <w:rsid w:val="4D3F38CB"/>
    <w:rsid w:val="4F363F69"/>
    <w:rsid w:val="4F7F146C"/>
    <w:rsid w:val="50B43398"/>
    <w:rsid w:val="510D2AA8"/>
    <w:rsid w:val="522400A9"/>
    <w:rsid w:val="52FD0719"/>
    <w:rsid w:val="534F0ED4"/>
    <w:rsid w:val="54745318"/>
    <w:rsid w:val="55043181"/>
    <w:rsid w:val="574B7E86"/>
    <w:rsid w:val="5813309A"/>
    <w:rsid w:val="593C217C"/>
    <w:rsid w:val="59B166C6"/>
    <w:rsid w:val="59F40CA9"/>
    <w:rsid w:val="5B13515F"/>
    <w:rsid w:val="5D3715D8"/>
    <w:rsid w:val="5E3873B6"/>
    <w:rsid w:val="5F8D54E0"/>
    <w:rsid w:val="5FE14D2F"/>
    <w:rsid w:val="5FF437B1"/>
    <w:rsid w:val="60AD42B8"/>
    <w:rsid w:val="60E6759D"/>
    <w:rsid w:val="61351088"/>
    <w:rsid w:val="623E51B7"/>
    <w:rsid w:val="62542D8F"/>
    <w:rsid w:val="62775FD3"/>
    <w:rsid w:val="62D068AA"/>
    <w:rsid w:val="630D670F"/>
    <w:rsid w:val="64607667"/>
    <w:rsid w:val="66042274"/>
    <w:rsid w:val="67CB129B"/>
    <w:rsid w:val="68477D6C"/>
    <w:rsid w:val="698A2A90"/>
    <w:rsid w:val="69DF44BF"/>
    <w:rsid w:val="6A8B4D12"/>
    <w:rsid w:val="6C5A0E3F"/>
    <w:rsid w:val="6C89702F"/>
    <w:rsid w:val="6DD16EDF"/>
    <w:rsid w:val="6EBF1ABE"/>
    <w:rsid w:val="71184E25"/>
    <w:rsid w:val="726A3C4D"/>
    <w:rsid w:val="74230CE5"/>
    <w:rsid w:val="77A86F03"/>
    <w:rsid w:val="796E5F2A"/>
    <w:rsid w:val="7C3132A4"/>
    <w:rsid w:val="7C572CA5"/>
    <w:rsid w:val="7E5C0A47"/>
    <w:rsid w:val="7F405C73"/>
    <w:rsid w:val="7FAB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黑体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b22d9a4a-ae1c-4c73-9be7-b1f0523612f8</errorID>
      <errorWord>（五）</errorWord>
      <group>L1_AI</group>
      <groupName>深度校对</groupName>
      <ability>L2_AI_Title</ability>
      <abilityName>标题检查</abilityName>
      <candidateList>
        <item>（四）</item>
      </candidateList>
      <explain>标题顺序错误，请检查标题顺序是否合理。</explain>
      <paraID>786D5A34</paraID>
      <start>0</start>
      <end>3</end>
      <status>modified</status>
      <modifiedWord>（四）</modifiedWord>
      <trackRevisions>false</trackRevisions>
    </reviewItem>
    <reviewItem>
      <errorID>a21e29ce-ff94-4b08-98a3-1f0029d14e3f</errorID>
      <errorWord>（六）</errorWord>
      <group>L1_AI</group>
      <groupName>深度校对</groupName>
      <ability>L2_AI_Title</ability>
      <abilityName>标题检查</abilityName>
      <candidateList>
        <item>（五）</item>
      </candidateList>
      <explain>标题顺序错误，请检查标题顺序是否合理。</explain>
      <paraID>1A6212B4</paraID>
      <start>0</start>
      <end>3</end>
      <status>modified</status>
      <modifiedWord>（五）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0903a9-823f-4f34-8815-db76da59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1661</Words>
  <Characters>1722</Characters>
  <Lines>0</Lines>
  <Paragraphs>0</Paragraphs>
  <TotalTime>7</TotalTime>
  <ScaleCrop>false</ScaleCrop>
  <LinksUpToDate>false</LinksUpToDate>
  <CharactersWithSpaces>1726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2026-03-31T07:45:00Z</dcterms:created>
  <dc:creator>吴梓琨</dc:creator>
  <cp:lastModifiedBy>PEGI</cp:lastModifiedBy>
  <dcterms:modified xsi:type="dcterms:W3CDTF">2026-05-26T07:03:00Z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eyJoZGlkIjoiNTM2Y2ExMzZiOWRhYjk2N2M3YjBmZGRkZWIxZWU4OGQiLCJ1c2VySWQiOiIxNTkzNTc4MTUxIn0=</vt:lpwstr>
  </property>
  <property fmtid="{D5CDD505-2E9C-101B-9397-08002B2CF9AE}" pid="4" name="ICV">
    <vt:lpwstr>27042C7D1D6443D0B33E09A9193BBF66_13</vt:lpwstr>
  </property>
</Properties>
</file>